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638" w:type="dxa"/>
        <w:jc w:val="left"/>
        <w:tblInd w:w="0" w:type="dxa"/>
        <w:tblBorders/>
        <w:tblCellMar>
          <w:top w:w="28" w:type="dxa"/>
          <w:left w:w="28" w:type="dxa"/>
          <w:bottom w:w="28" w:type="dxa"/>
          <w:right w:w="28" w:type="dxa"/>
        </w:tblCellMar>
      </w:tblPr>
      <w:tblGrid>
        <w:gridCol w:w="491"/>
        <w:gridCol w:w="9147"/>
      </w:tblGrid>
      <w:tr>
        <w:trPr/>
        <w:tc>
          <w:tcPr>
            <w:tcW w:w="491" w:type="dxa"/>
            <w:tcBorders/>
            <w:shd w:fill="auto" w:val="clear"/>
            <w:vAlign w:val="center"/>
          </w:tcPr>
          <w:p>
            <w:pPr>
              <w:pStyle w:val="Style21"/>
              <w:rPr/>
            </w:pPr>
            <w:r>
              <w:rPr/>
              <w:t xml:space="preserve">кст: </w:t>
            </w:r>
          </w:p>
        </w:tc>
        <w:tc>
          <w:tcPr>
            <w:tcW w:w="9147" w:type="dxa"/>
            <w:tcBorders/>
            <w:shd w:fill="auto" w:val="clear"/>
            <w:vAlign w:val="center"/>
          </w:tcPr>
          <w:p>
            <w:pPr>
              <w:pStyle w:val="Style20"/>
              <w:spacing w:before="0" w:after="283"/>
              <w:jc w:val="both"/>
              <w:rPr>
                <w:rFonts w:ascii="Times New Roman" w:hAnsi="Times New Roman"/>
                <w:color w:val="3B2D36"/>
                <w:sz w:val="24"/>
              </w:rPr>
            </w:pPr>
            <w:r>
              <w:rPr>
                <w:rFonts w:ascii="Times New Roman" w:hAnsi="Times New Roman"/>
                <w:b/>
                <w:color w:val="3B2D36"/>
                <w:sz w:val="24"/>
              </w:rPr>
              <w:t>АДМИНИСТРАЦИЯ ПОЛТАВСКОГО СЕЛЬСКОГО ПОСЕЛЕНИЯ</w:t>
            </w:r>
          </w:p>
          <w:p>
            <w:pPr>
              <w:pStyle w:val="Style20"/>
              <w:spacing w:before="0" w:after="283"/>
              <w:jc w:val="both"/>
              <w:rPr>
                <w:rFonts w:ascii="Times New Roman" w:hAnsi="Times New Roman"/>
                <w:b/>
                <w:color w:val="3B2D36"/>
                <w:sz w:val="24"/>
              </w:rPr>
            </w:pPr>
            <w:r>
              <w:rPr>
                <w:rFonts w:ascii="Times New Roman" w:hAnsi="Times New Roman"/>
                <w:b/>
                <w:color w:val="3B2D36"/>
                <w:sz w:val="24"/>
              </w:rPr>
              <w:t>ПОСТАНОВЛЕНИЕ</w:t>
            </w:r>
          </w:p>
          <w:p>
            <w:pPr>
              <w:pStyle w:val="Style20"/>
              <w:spacing w:before="0" w:after="283"/>
              <w:jc w:val="both"/>
              <w:rPr/>
            </w:pPr>
            <w:r>
              <w:rPr/>
              <w:t> </w:t>
            </w:r>
          </w:p>
          <w:p>
            <w:pPr>
              <w:pStyle w:val="Style20"/>
              <w:spacing w:before="0" w:after="283"/>
              <w:jc w:val="both"/>
              <w:rPr/>
            </w:pPr>
            <w:r>
              <w:rPr>
                <w:rFonts w:ascii="Times New Roman" w:hAnsi="Times New Roman"/>
                <w:b/>
                <w:color w:val="3B2D36"/>
                <w:sz w:val="24"/>
              </w:rPr>
              <w:t xml:space="preserve">«30» июля 2018г. № 26 </w:t>
            </w:r>
            <w:r>
              <w:rPr>
                <w:rFonts w:ascii="Times New Roman" w:hAnsi="Times New Roman"/>
                <w:color w:val="3B2D36"/>
                <w:sz w:val="24"/>
              </w:rPr>
              <w:br/>
            </w:r>
            <w:r>
              <w:rPr>
                <w:rFonts w:ascii="Times New Roman" w:hAnsi="Times New Roman"/>
                <w:b/>
                <w:color w:val="3B2D36"/>
                <w:sz w:val="24"/>
              </w:rPr>
              <w:t>п. Центральный</w:t>
            </w:r>
          </w:p>
          <w:p>
            <w:pPr>
              <w:pStyle w:val="Style20"/>
              <w:spacing w:before="0" w:after="283"/>
              <w:jc w:val="both"/>
              <w:rPr/>
            </w:pPr>
            <w:r>
              <w:rPr/>
              <w:t> </w:t>
            </w:r>
          </w:p>
          <w:p>
            <w:pPr>
              <w:pStyle w:val="Style20"/>
              <w:spacing w:before="0" w:after="283"/>
              <w:jc w:val="both"/>
              <w:rPr/>
            </w:pPr>
            <w:r>
              <w:rPr>
                <w:rFonts w:ascii="Times New Roman" w:hAnsi="Times New Roman"/>
                <w:b/>
                <w:color w:val="3B2D36"/>
                <w:sz w:val="24"/>
              </w:rPr>
              <w:t>Об утверждении Порядка ликвидации аварийных ситуаций в системах</w:t>
            </w:r>
            <w:r>
              <w:rPr>
                <w:rFonts w:ascii="Times New Roman" w:hAnsi="Times New Roman"/>
                <w:color w:val="3B2D36"/>
                <w:sz w:val="24"/>
              </w:rPr>
              <w:br/>
            </w:r>
            <w:r>
              <w:rPr>
                <w:rFonts w:ascii="Times New Roman" w:hAnsi="Times New Roman"/>
                <w:b/>
                <w:color w:val="3B2D36"/>
                <w:sz w:val="24"/>
              </w:rPr>
              <w:t>теплоснабжения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w:t>
            </w:r>
          </w:p>
          <w:p>
            <w:pPr>
              <w:pStyle w:val="Style20"/>
              <w:spacing w:before="0" w:after="283"/>
              <w:jc w:val="both"/>
              <w:rPr/>
            </w:pPr>
            <w:r>
              <w:rPr/>
              <w:t> </w:t>
            </w:r>
          </w:p>
          <w:p>
            <w:pPr>
              <w:pStyle w:val="Style20"/>
              <w:spacing w:before="0" w:after="283"/>
              <w:jc w:val="both"/>
              <w:rPr>
                <w:rFonts w:ascii="Times New Roman" w:hAnsi="Times New Roman"/>
                <w:color w:val="3B2D36"/>
                <w:sz w:val="24"/>
              </w:rPr>
            </w:pPr>
            <w:r>
              <w:rPr>
                <w:rFonts w:ascii="Times New Roman" w:hAnsi="Times New Roman"/>
                <w:color w:val="3B2D36"/>
                <w:sz w:val="24"/>
              </w:rPr>
              <w:t>В соответствии с Федеральным законом от 27 июля 2010 года № 190-ФЗ «О теплоснабжении», Приказом министерства энергетики Российской Федерации от 12 марта 2013 года №103 «Об утверждении правил оценки готовности к отопительному периоду», Администрация Полтавского сельского поселения п о с т а н о в л я е т:</w:t>
            </w:r>
          </w:p>
          <w:p>
            <w:pPr>
              <w:pStyle w:val="Style20"/>
              <w:numPr>
                <w:ilvl w:val="0"/>
                <w:numId w:val="1"/>
              </w:numPr>
              <w:tabs>
                <w:tab w:val="left" w:pos="0" w:leader="none"/>
              </w:tabs>
              <w:spacing w:before="0" w:after="283"/>
              <w:ind w:left="707" w:hanging="283"/>
              <w:jc w:val="both"/>
              <w:rPr>
                <w:rFonts w:ascii="Times New Roman" w:hAnsi="Times New Roman"/>
                <w:color w:val="3B2D36"/>
                <w:sz w:val="24"/>
              </w:rPr>
            </w:pPr>
            <w:r>
              <w:rPr>
                <w:rFonts w:ascii="Times New Roman" w:hAnsi="Times New Roman"/>
                <w:color w:val="3B2D36"/>
                <w:sz w:val="24"/>
              </w:rPr>
              <w:t>Утвердить Порядок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 согласно приложению к настоящему постановлению.</w:t>
              <w:br/>
              <w:t>2. Разместить настоящее постановление на официальном интернет-сайте Администрации Полтавского сельского поселения.</w:t>
              <w:br/>
              <w:t>3. Настоящее постановление вступает в силу с момента его опубликования.</w:t>
              <w:br/>
              <w:t>4. Контроль за исполнением настоящего постановления возложить на заместителя главы Полтавского сельского поселения И.В.Старчикову.</w:t>
            </w:r>
          </w:p>
          <w:p>
            <w:pPr>
              <w:pStyle w:val="Style22"/>
              <w:spacing w:before="0" w:after="283"/>
              <w:jc w:val="both"/>
              <w:rPr/>
            </w:pPr>
            <w:r>
              <w:rPr/>
              <w:t> </w:t>
            </w:r>
          </w:p>
          <w:p>
            <w:pPr>
              <w:pStyle w:val="Style22"/>
              <w:spacing w:before="0" w:after="283"/>
              <w:jc w:val="both"/>
              <w:rPr/>
            </w:pPr>
            <w:r>
              <w:rPr/>
              <w:t> </w:t>
            </w:r>
          </w:p>
          <w:p>
            <w:pPr>
              <w:pStyle w:val="Style22"/>
              <w:spacing w:before="0" w:after="283"/>
              <w:jc w:val="both"/>
              <w:rPr/>
            </w:pPr>
            <w:r>
              <w:rPr/>
              <w:t> </w:t>
            </w:r>
          </w:p>
          <w:p>
            <w:pPr>
              <w:pStyle w:val="Style22"/>
              <w:spacing w:before="0" w:after="283"/>
              <w:jc w:val="both"/>
              <w:rPr/>
            </w:pPr>
            <w:r>
              <w:rPr/>
              <w:t> </w:t>
            </w:r>
          </w:p>
          <w:p>
            <w:pPr>
              <w:pStyle w:val="Style20"/>
              <w:spacing w:before="0" w:after="283"/>
              <w:jc w:val="both"/>
              <w:rPr/>
            </w:pPr>
            <w:r>
              <w:rPr/>
              <w:t> </w:t>
            </w:r>
          </w:p>
          <w:p>
            <w:pPr>
              <w:pStyle w:val="Style20"/>
              <w:spacing w:before="0" w:after="283"/>
              <w:jc w:val="both"/>
              <w:rPr>
                <w:rFonts w:ascii="Times New Roman" w:hAnsi="Times New Roman"/>
                <w:color w:val="3B2D36"/>
                <w:sz w:val="24"/>
              </w:rPr>
            </w:pPr>
            <w:r>
              <w:rPr>
                <w:rFonts w:ascii="Times New Roman" w:hAnsi="Times New Roman"/>
                <w:color w:val="3B2D36"/>
                <w:sz w:val="24"/>
              </w:rPr>
              <w:t xml:space="preserve">Глава Полтавского </w:t>
            </w:r>
          </w:p>
          <w:p>
            <w:pPr>
              <w:pStyle w:val="Style20"/>
              <w:spacing w:before="0" w:after="283"/>
              <w:jc w:val="both"/>
              <w:rPr>
                <w:rFonts w:ascii="Times New Roman" w:hAnsi="Times New Roman"/>
                <w:color w:val="3B2D36"/>
                <w:sz w:val="24"/>
              </w:rPr>
            </w:pPr>
            <w:r>
              <w:rPr>
                <w:rFonts w:ascii="Times New Roman" w:hAnsi="Times New Roman"/>
                <w:color w:val="3B2D36"/>
                <w:sz w:val="24"/>
              </w:rPr>
              <w:t>сельского поселения Н.Н.Варенников</w:t>
            </w:r>
          </w:p>
          <w:p>
            <w:pPr>
              <w:pStyle w:val="Style22"/>
              <w:spacing w:before="0" w:after="283"/>
              <w:jc w:val="left"/>
              <w:rPr/>
            </w:pPr>
            <w:r>
              <w:rPr/>
              <w:t> </w:t>
            </w:r>
          </w:p>
          <w:p>
            <w:pPr>
              <w:pStyle w:val="Style22"/>
              <w:spacing w:before="0" w:after="283"/>
              <w:jc w:val="left"/>
              <w:rPr/>
            </w:pPr>
            <w:r>
              <w:rPr/>
              <w:t> </w:t>
            </w:r>
          </w:p>
          <w:p>
            <w:pPr>
              <w:pStyle w:val="Style22"/>
              <w:spacing w:before="0" w:after="283"/>
              <w:jc w:val="left"/>
              <w:rPr/>
            </w:pPr>
            <w:r>
              <w:rPr/>
              <w:t> </w:t>
            </w:r>
          </w:p>
          <w:p>
            <w:pPr>
              <w:pStyle w:val="Style22"/>
              <w:spacing w:before="0" w:after="283"/>
              <w:jc w:val="left"/>
              <w:rPr/>
            </w:pPr>
            <w:r>
              <w:rPr/>
              <w:t> </w:t>
            </w:r>
          </w:p>
          <w:p>
            <w:pPr>
              <w:pStyle w:val="Style22"/>
              <w:spacing w:before="0" w:after="283"/>
              <w:jc w:val="left"/>
              <w:rPr/>
            </w:pPr>
            <w:r>
              <w:rPr/>
              <w:t> </w:t>
            </w:r>
          </w:p>
          <w:p>
            <w:pPr>
              <w:pStyle w:val="Style22"/>
              <w:spacing w:before="0" w:after="283"/>
              <w:jc w:val="left"/>
              <w:rPr/>
            </w:pPr>
            <w:r>
              <w:rPr/>
              <w:t> </w:t>
            </w:r>
          </w:p>
          <w:p>
            <w:pPr>
              <w:pStyle w:val="Style22"/>
              <w:spacing w:before="0" w:after="283"/>
              <w:jc w:val="left"/>
              <w:rPr/>
            </w:pPr>
            <w:r>
              <w:rPr/>
              <w:t> </w:t>
            </w:r>
          </w:p>
          <w:p>
            <w:pPr>
              <w:pStyle w:val="Style22"/>
              <w:spacing w:before="0" w:after="283"/>
              <w:jc w:val="left"/>
              <w:rPr/>
            </w:pPr>
            <w:r>
              <w:rPr/>
              <w:t> </w:t>
            </w:r>
          </w:p>
          <w:p>
            <w:pPr>
              <w:pStyle w:val="Style22"/>
              <w:spacing w:before="0" w:after="283"/>
              <w:jc w:val="left"/>
              <w:rPr/>
            </w:pPr>
            <w:r>
              <w:rPr/>
              <w:t> </w:t>
            </w:r>
          </w:p>
          <w:p>
            <w:pPr>
              <w:pStyle w:val="Style22"/>
              <w:spacing w:before="0" w:after="283"/>
              <w:jc w:val="left"/>
              <w:rPr/>
            </w:pPr>
            <w:r>
              <w:rPr/>
              <w:t> </w:t>
            </w:r>
          </w:p>
          <w:p>
            <w:pPr>
              <w:pStyle w:val="Style22"/>
              <w:spacing w:before="0" w:after="283"/>
              <w:jc w:val="left"/>
              <w:rPr/>
            </w:pPr>
            <w:r>
              <w:rPr/>
              <w:t> </w:t>
            </w:r>
          </w:p>
          <w:p>
            <w:pPr>
              <w:pStyle w:val="Style22"/>
              <w:spacing w:before="0" w:after="283"/>
              <w:jc w:val="left"/>
              <w:rPr/>
            </w:pPr>
            <w:r>
              <w:rPr/>
              <w:t> </w:t>
            </w:r>
          </w:p>
          <w:p>
            <w:pPr>
              <w:pStyle w:val="Style22"/>
              <w:spacing w:before="0" w:after="283"/>
              <w:jc w:val="left"/>
              <w:rPr/>
            </w:pPr>
            <w:r>
              <w:rPr/>
              <w:t> </w:t>
            </w:r>
          </w:p>
          <w:p>
            <w:pPr>
              <w:pStyle w:val="Style22"/>
              <w:spacing w:before="0" w:after="283"/>
              <w:jc w:val="left"/>
              <w:rPr/>
            </w:pPr>
            <w:r>
              <w:rPr/>
              <w:t> </w:t>
            </w:r>
          </w:p>
          <w:p>
            <w:pPr>
              <w:pStyle w:val="Style22"/>
              <w:spacing w:before="0" w:after="283"/>
              <w:jc w:val="left"/>
              <w:rPr/>
            </w:pPr>
            <w:r>
              <w:rPr/>
              <w:t> </w:t>
            </w:r>
          </w:p>
          <w:p>
            <w:pPr>
              <w:pStyle w:val="Style22"/>
              <w:spacing w:before="0" w:after="283"/>
              <w:jc w:val="left"/>
              <w:rPr/>
            </w:pPr>
            <w:r>
              <w:rPr/>
              <w:t> </w:t>
            </w:r>
          </w:p>
          <w:p>
            <w:pPr>
              <w:pStyle w:val="Style22"/>
              <w:spacing w:before="0" w:after="283"/>
              <w:jc w:val="left"/>
              <w:rPr/>
            </w:pPr>
            <w:r>
              <w:rPr/>
              <w:t> </w:t>
            </w:r>
          </w:p>
          <w:p>
            <w:pPr>
              <w:pStyle w:val="Style22"/>
              <w:spacing w:before="0" w:after="283"/>
              <w:jc w:val="left"/>
              <w:rPr/>
            </w:pPr>
            <w:r>
              <w:rPr/>
              <w:t> </w:t>
            </w:r>
          </w:p>
          <w:p>
            <w:pPr>
              <w:pStyle w:val="Style22"/>
              <w:spacing w:before="0" w:after="283"/>
              <w:jc w:val="left"/>
              <w:rPr/>
            </w:pPr>
            <w:r>
              <w:rPr/>
              <w:t> </w:t>
            </w:r>
          </w:p>
          <w:p>
            <w:pPr>
              <w:pStyle w:val="Style22"/>
              <w:spacing w:before="0" w:after="283"/>
              <w:jc w:val="left"/>
              <w:rPr>
                <w:rFonts w:ascii="Times New Roman" w:hAnsi="Times New Roman"/>
                <w:color w:val="3B2D36"/>
                <w:sz w:val="24"/>
              </w:rPr>
            </w:pPr>
            <w:r>
              <w:rPr>
                <w:rFonts w:ascii="Times New Roman" w:hAnsi="Times New Roman"/>
                <w:color w:val="3B2D36"/>
                <w:sz w:val="24"/>
              </w:rPr>
              <w:t>Приложение № 1 </w:t>
              <w:br/>
              <w:t>УТВЕРЖДЕН</w:t>
              <w:br/>
              <w:t>постановлением Администрации</w:t>
              <w:br/>
              <w:t>Полтавского сельского поселения</w:t>
              <w:br/>
              <w:t xml:space="preserve">от «30» июля 2018 № 26 </w:t>
            </w:r>
          </w:p>
          <w:p>
            <w:pPr>
              <w:pStyle w:val="Style20"/>
              <w:spacing w:before="0" w:after="283"/>
              <w:jc w:val="center"/>
              <w:rPr/>
            </w:pPr>
            <w:r>
              <w:rPr>
                <w:rFonts w:ascii="Times New Roman" w:hAnsi="Times New Roman"/>
                <w:b/>
                <w:color w:val="3B2D36"/>
                <w:sz w:val="24"/>
              </w:rPr>
              <w:t>ПОРЯДОК</w:t>
            </w:r>
            <w:r>
              <w:rPr>
                <w:rFonts w:ascii="Times New Roman" w:hAnsi="Times New Roman"/>
                <w:color w:val="3B2D36"/>
                <w:sz w:val="24"/>
              </w:rPr>
              <w:br/>
            </w:r>
            <w:r>
              <w:rPr>
                <w:rFonts w:ascii="Times New Roman" w:hAnsi="Times New Roman"/>
                <w:b/>
                <w:color w:val="3B2D36"/>
                <w:sz w:val="24"/>
              </w:rPr>
              <w:t>ликвидации аварийных ситуаций в системах</w:t>
            </w:r>
            <w:r>
              <w:rPr>
                <w:rFonts w:ascii="Times New Roman" w:hAnsi="Times New Roman"/>
                <w:color w:val="3B2D36"/>
                <w:sz w:val="24"/>
              </w:rPr>
              <w:br/>
            </w:r>
            <w:r>
              <w:rPr>
                <w:rFonts w:ascii="Times New Roman" w:hAnsi="Times New Roman"/>
                <w:b/>
                <w:color w:val="3B2D36"/>
                <w:sz w:val="24"/>
              </w:rPr>
              <w:t>теплоснабжения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w:t>
            </w:r>
          </w:p>
          <w:p>
            <w:pPr>
              <w:pStyle w:val="Style20"/>
              <w:spacing w:before="0" w:after="283"/>
              <w:jc w:val="both"/>
              <w:rPr>
                <w:rFonts w:ascii="Times New Roman" w:hAnsi="Times New Roman"/>
                <w:color w:val="3B2D36"/>
                <w:sz w:val="24"/>
              </w:rPr>
            </w:pPr>
            <w:r>
              <w:rPr>
                <w:rFonts w:ascii="Times New Roman" w:hAnsi="Times New Roman"/>
                <w:color w:val="3B2D36"/>
                <w:sz w:val="24"/>
              </w:rPr>
              <w:t>1. Порядок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 (далее – Порядок) разработан в целях координации деятельности администрации Полтавского сельского поселения(далее - Администрация), ресурсоснабжающих организаций, Управляющих организаций и ТСЖ при решении вопросов, связанных с ликвидацией аварийных ситуаций на системах жизнеобеспечения на территории Полтавского сельского поселения.</w:t>
              <w:br/>
              <w:t>2. Настоящий Порядок обязателен для выполнения исполнителями и потребителями коммунальных услуг, тепло- и ресурсоснабжающими организациями, строительно-монтажными, ремонтными и наладочными организациями, выполняющими строительство, монтаж, наладку и ремонт объектов жилищно–коммунального хозяйства на территории Полтавского сельского поселения.</w:t>
            </w:r>
          </w:p>
          <w:p>
            <w:pPr>
              <w:pStyle w:val="Style20"/>
              <w:spacing w:before="0" w:after="283"/>
              <w:jc w:val="both"/>
              <w:rPr>
                <w:rFonts w:ascii="Times New Roman" w:hAnsi="Times New Roman"/>
                <w:color w:val="3B2D36"/>
                <w:sz w:val="24"/>
              </w:rPr>
            </w:pPr>
            <w:r>
              <w:rPr>
                <w:rFonts w:ascii="Times New Roman" w:hAnsi="Times New Roman"/>
                <w:color w:val="3B2D36"/>
                <w:sz w:val="24"/>
              </w:rPr>
              <w:t>3. В настоящем Порядке используются следующие основные понятия:</w:t>
              <w:br/>
              <w:t>"коммунальные услуги"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pPr>
              <w:pStyle w:val="Style20"/>
              <w:spacing w:before="0" w:after="283"/>
              <w:jc w:val="both"/>
              <w:rPr>
                <w:rFonts w:ascii="Times New Roman" w:hAnsi="Times New Roman"/>
                <w:color w:val="3B2D36"/>
                <w:sz w:val="24"/>
              </w:rPr>
            </w:pPr>
            <w:r>
              <w:rPr>
                <w:rFonts w:ascii="Times New Roman" w:hAnsi="Times New Roman"/>
                <w:color w:val="3B2D36"/>
                <w:sz w:val="24"/>
              </w:rPr>
              <w:t>"исполнитель"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b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pPr>
              <w:pStyle w:val="Style20"/>
              <w:spacing w:before="0" w:after="283"/>
              <w:jc w:val="both"/>
              <w:rPr>
                <w:rFonts w:ascii="Times New Roman" w:hAnsi="Times New Roman"/>
                <w:color w:val="3B2D36"/>
                <w:sz w:val="24"/>
              </w:rPr>
            </w:pPr>
            <w:r>
              <w:rPr>
                <w:rFonts w:ascii="Times New Roman" w:hAnsi="Times New Roman"/>
                <w:color w:val="3B2D36"/>
                <w:sz w:val="24"/>
              </w:rPr>
              <w:t>"потребитель"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b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b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pPr>
              <w:pStyle w:val="Style20"/>
              <w:spacing w:before="0" w:after="283"/>
              <w:jc w:val="both"/>
              <w:rPr>
                <w:rFonts w:ascii="Times New Roman" w:hAnsi="Times New Roman"/>
                <w:color w:val="3B2D36"/>
                <w:sz w:val="24"/>
              </w:rPr>
            </w:pPr>
            <w:r>
              <w:rPr>
                <w:rFonts w:ascii="Times New Roman" w:hAnsi="Times New Roman"/>
                <w:color w:val="3B2D36"/>
                <w:sz w:val="24"/>
              </w:rPr>
              <w:t>"коммунальные ресурсы"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pPr>
              <w:pStyle w:val="Style20"/>
              <w:spacing w:before="0" w:after="283"/>
              <w:jc w:val="both"/>
              <w:rPr>
                <w:rFonts w:ascii="Times New Roman" w:hAnsi="Times New Roman"/>
                <w:color w:val="3B2D36"/>
                <w:sz w:val="24"/>
              </w:rPr>
            </w:pPr>
            <w:r>
              <w:rPr>
                <w:rFonts w:ascii="Times New Roman" w:hAnsi="Times New Roman"/>
                <w:color w:val="3B2D36"/>
                <w:sz w:val="24"/>
              </w:rPr>
              <w:t>4. Основной задачей Администрации, организаций жилищно-коммунального комплекса является обеспечение устойчивого тепло-, водо-, электро-, газоснабжения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br/>
              <w:t>5. Ответственность за предоставление коммунальных услуг устанавливается в соответствии с федеральным законодательством и законодательством Челябинской области.</w:t>
              <w:br/>
              <w:t>6. Взаимодействие диспетчерских служб организаций жилищно-коммунального комплекса, тепло - и ресурсоснабжающих организаций и Администрации определяется в соответствии с действующим законодательством.</w:t>
            </w:r>
          </w:p>
          <w:p>
            <w:pPr>
              <w:pStyle w:val="Style20"/>
              <w:spacing w:before="0" w:after="283"/>
              <w:jc w:val="both"/>
              <w:rPr>
                <w:rFonts w:ascii="Times New Roman" w:hAnsi="Times New Roman"/>
                <w:color w:val="3B2D36"/>
                <w:sz w:val="24"/>
              </w:rPr>
            </w:pPr>
            <w:r>
              <w:rPr>
                <w:rFonts w:ascii="Times New Roman" w:hAnsi="Times New Roman"/>
                <w:color w:val="3B2D36"/>
                <w:sz w:val="24"/>
              </w:rPr>
              <w:t>7.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 и законодательством Челябинской области.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br/>
              <w:t>8. Исполнители коммунальных услуг и потребители должны обеспечивать:</w:t>
              <w:br/>
              <w:t>- своевременное и качественное техническое обслуживание и ремонт теплопотребляющих систем, а также разработку и выполнение, согласно договору на пользование тепловой энергией, графиков ограничения и отключения теплопотребляющих установок при временном недостатке тепловой мощности или топлива на источниках теплоснабжения;</w:t>
              <w:br/>
              <w:t>- допуск работников специализированных организаций, с которыми заключены договоры на техническое обслуживание и ремонт теплопотребляющих систем, на объекты в любое время суток.</w:t>
            </w:r>
          </w:p>
          <w:p>
            <w:pPr>
              <w:pStyle w:val="Style20"/>
              <w:spacing w:before="0" w:after="283"/>
              <w:jc w:val="both"/>
              <w:rPr>
                <w:rFonts w:ascii="Times New Roman" w:hAnsi="Times New Roman"/>
                <w:color w:val="3B2D36"/>
                <w:sz w:val="24"/>
              </w:rPr>
            </w:pPr>
            <w:r>
              <w:rPr>
                <w:rFonts w:ascii="Times New Roman" w:hAnsi="Times New Roman"/>
                <w:color w:val="3B2D36"/>
                <w:sz w:val="24"/>
              </w:rPr>
              <w:t>9. 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поврежденной, и при необходимости – Администрацию,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br/>
              <w:t>10.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Администрацию и постоянно действующую Комиссию по предупреждению и ликвидации чрезвычайных ситуаций и обеспечению первичных мер пожарной безопасности Администрации.</w:t>
            </w:r>
          </w:p>
          <w:p>
            <w:pPr>
              <w:pStyle w:val="Style20"/>
              <w:spacing w:before="0" w:after="283"/>
              <w:jc w:val="both"/>
              <w:rPr/>
            </w:pPr>
            <w:r>
              <w:rPr>
                <w:rFonts w:ascii="Times New Roman" w:hAnsi="Times New Roman"/>
                <w:color w:val="3B2D36"/>
                <w:sz w:val="24"/>
              </w:rPr>
              <w:t xml:space="preserve">11. Ликвидация аварий на объектах жилищно-коммунального хозяйства и социальной сферы осуществляется в соответствии с настоящим Порядком и с учетом Плана взаимодействия служб (горгаза, полиции, пожарной охраны, скорой помощи, организаций электросетей и водоснабжения) по локализации и ликвидации возможных аварий и предотвращение несчастных случаев на газифицированном объекте Полтавского сельского поселения ( распоряжение администрации сельского поселения от 08.06.2017 года № 53). </w:t>
            </w:r>
            <w:r>
              <w:rPr>
                <w:rFonts w:ascii="Times New Roman" w:hAnsi="Times New Roman"/>
                <w:color w:val="FF0000"/>
                <w:sz w:val="24"/>
              </w:rPr>
              <w:br/>
            </w:r>
            <w:r>
              <w:rPr>
                <w:rFonts w:ascii="Times New Roman" w:hAnsi="Times New Roman"/>
                <w:color w:val="3B2D36"/>
                <w:sz w:val="24"/>
              </w:rPr>
              <w:t>12.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Полтавского сельского поселения на очередной финансовый год.</w:t>
            </w:r>
          </w:p>
          <w:p>
            <w:pPr>
              <w:pStyle w:val="Style20"/>
              <w:spacing w:before="0" w:after="283"/>
              <w:jc w:val="both"/>
              <w:rPr>
                <w:rFonts w:ascii="Times New Roman" w:hAnsi="Times New Roman"/>
                <w:color w:val="3B2D36"/>
                <w:sz w:val="24"/>
              </w:rPr>
            </w:pPr>
            <w:r>
              <w:rPr>
                <w:rFonts w:ascii="Times New Roman" w:hAnsi="Times New Roman"/>
                <w:color w:val="3B2D36"/>
                <w:sz w:val="24"/>
              </w:rPr>
              <w:t>13.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pPr>
              <w:pStyle w:val="Style20"/>
              <w:spacing w:before="0" w:after="283"/>
              <w:jc w:val="both"/>
              <w:rPr>
                <w:rFonts w:ascii="Times New Roman" w:hAnsi="Times New Roman"/>
                <w:color w:val="3B2D36"/>
                <w:sz w:val="24"/>
              </w:rPr>
            </w:pPr>
            <w:r>
              <w:rPr>
                <w:rFonts w:ascii="Times New Roman" w:hAnsi="Times New Roman"/>
                <w:color w:val="3B2D36"/>
                <w:sz w:val="24"/>
              </w:rPr>
              <w:t xml:space="preserve">14. Работы по устранению технологических нарушений на инженерных сетях, связанные с нарушением благоустройства территории, производятся тепло - и ресурсоснабжающими организациями и их подрядными организациями по согласованию с администрацией сельского поселения. </w:t>
              <w:br/>
              <w:t>15.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br/>
              <w:t>16. Орган местного самоуправления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pPr>
              <w:pStyle w:val="Style20"/>
              <w:spacing w:before="0" w:after="283"/>
              <w:jc w:val="both"/>
              <w:rPr>
                <w:rFonts w:ascii="Times New Roman" w:hAnsi="Times New Roman"/>
                <w:color w:val="3B2D36"/>
                <w:sz w:val="24"/>
              </w:rPr>
            </w:pPr>
            <w:r>
              <w:rPr>
                <w:rFonts w:ascii="Times New Roman" w:hAnsi="Times New Roman"/>
                <w:color w:val="3B2D36"/>
                <w:sz w:val="24"/>
              </w:rPr>
              <w:t>17. Собственники земельных участков, по которым проходят инженерные коммуникации, обязаны:</w:t>
              <w:br/>
              <w:t>- 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pPr>
              <w:pStyle w:val="Style20"/>
              <w:spacing w:before="0" w:after="283"/>
              <w:jc w:val="both"/>
              <w:rPr>
                <w:rFonts w:ascii="Times New Roman" w:hAnsi="Times New Roman"/>
                <w:color w:val="3B2D36"/>
                <w:sz w:val="24"/>
              </w:rPr>
            </w:pPr>
            <w:r>
              <w:rPr>
                <w:rFonts w:ascii="Times New Roman" w:hAnsi="Times New Roman"/>
                <w:color w:val="3B2D36"/>
                <w:sz w:val="24"/>
              </w:rP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 п.;</w:t>
            </w:r>
          </w:p>
          <w:p>
            <w:pPr>
              <w:pStyle w:val="Style20"/>
              <w:spacing w:before="0" w:after="283"/>
              <w:jc w:val="both"/>
              <w:rPr>
                <w:rFonts w:ascii="Times New Roman" w:hAnsi="Times New Roman"/>
                <w:color w:val="3B2D36"/>
                <w:sz w:val="24"/>
              </w:rPr>
            </w:pPr>
            <w:r>
              <w:rPr>
                <w:rFonts w:ascii="Times New Roman" w:hAnsi="Times New Roman"/>
                <w:color w:val="3B2D36"/>
                <w:sz w:val="24"/>
              </w:rP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br/>
              <w:t>-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b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br/>
              <w:t>18.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 п.) обязаны:</w:t>
            </w:r>
          </w:p>
          <w:p>
            <w:pPr>
              <w:pStyle w:val="Style20"/>
              <w:spacing w:before="0" w:after="283"/>
              <w:jc w:val="both"/>
              <w:rPr>
                <w:rFonts w:ascii="Times New Roman" w:hAnsi="Times New Roman"/>
                <w:color w:val="3B2D36"/>
                <w:sz w:val="24"/>
              </w:rPr>
            </w:pPr>
            <w:r>
              <w:rPr>
                <w:rFonts w:ascii="Times New Roman" w:hAnsi="Times New Roman"/>
                <w:color w:val="3B2D36"/>
                <w:sz w:val="24"/>
              </w:rPr>
              <w:t>- принять меры по ограждению опасной зоны и предотвращению доступа посторонних лиц в зону технологического нарушения до прибытия аварийных служб;</w:t>
              <w:br/>
              <w:t>- незамедлительно информировать обо всех происшествиях, связанных с повреждением инженерных коммуникаций, Администрацию.</w:t>
            </w:r>
          </w:p>
          <w:p>
            <w:pPr>
              <w:pStyle w:val="Style20"/>
              <w:spacing w:before="0" w:after="283"/>
              <w:jc w:val="both"/>
              <w:rPr>
                <w:rFonts w:ascii="Times New Roman" w:hAnsi="Times New Roman"/>
                <w:color w:val="3B2D36"/>
                <w:sz w:val="24"/>
              </w:rPr>
            </w:pPr>
            <w:r>
              <w:rPr>
                <w:rFonts w:ascii="Times New Roman" w:hAnsi="Times New Roman"/>
                <w:color w:val="3B2D36"/>
                <w:sz w:val="24"/>
              </w:rPr>
              <w:t>19. 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b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 и ресурсоснабжающими организациями.</w:t>
              <w:br/>
              <w:t>20.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br/>
              <w:t>21. Потребители тепла по надежности теплоснабжения делятся на две категории:</w:t>
              <w:br/>
              <w:t xml:space="preserve">- 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w:t>
              <w:br/>
              <w:t>- ко второй категории – остальные потребители тепла.</w:t>
            </w:r>
          </w:p>
          <w:p>
            <w:pPr>
              <w:pStyle w:val="Style20"/>
              <w:spacing w:before="0" w:after="283"/>
              <w:jc w:val="both"/>
              <w:rPr>
                <w:rFonts w:ascii="Times New Roman" w:hAnsi="Times New Roman"/>
                <w:color w:val="3B2D36"/>
                <w:sz w:val="24"/>
              </w:rPr>
            </w:pPr>
            <w:r>
              <w:rPr>
                <w:rFonts w:ascii="Times New Roman" w:hAnsi="Times New Roman"/>
                <w:color w:val="3B2D36"/>
                <w:sz w:val="24"/>
              </w:rPr>
              <w:t>22. Источники теплоснабжения по надежности отпуска тепла потребителям делятся на две категории:</w:t>
              <w:br/>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br/>
              <w:t>- ко второй категории – остальные источники тепла.</w:t>
            </w:r>
          </w:p>
          <w:p>
            <w:pPr>
              <w:pStyle w:val="Style20"/>
              <w:spacing w:before="0" w:after="283"/>
              <w:jc w:val="both"/>
              <w:rPr>
                <w:rFonts w:ascii="Times New Roman" w:hAnsi="Times New Roman"/>
                <w:color w:val="3B2D36"/>
                <w:sz w:val="24"/>
              </w:rPr>
            </w:pPr>
            <w:r>
              <w:rPr>
                <w:rFonts w:ascii="Times New Roman" w:hAnsi="Times New Roman"/>
                <w:color w:val="3B2D36"/>
                <w:sz w:val="24"/>
              </w:rPr>
              <w:t>23.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pPr>
              <w:pStyle w:val="Style20"/>
              <w:spacing w:before="0" w:after="283"/>
              <w:rPr/>
            </w:pPr>
            <w:r>
              <w:rPr/>
              <w:t> </w:t>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kern w:val="2"/>
      <w:sz w:val="24"/>
      <w:szCs w:val="24"/>
      <w:lang w:val="ru-RU" w:eastAsia="zh-CN" w:bidi="hi-IN"/>
    </w:rPr>
  </w:style>
  <w:style w:type="character" w:styleId="Style14">
    <w:name w:val="Символ нумерации"/>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Содержимое списка"/>
    <w:basedOn w:val="Normal"/>
    <w:qFormat/>
    <w:pPr>
      <w:ind w:left="567" w:hanging="0"/>
    </w:pPr>
    <w:rPr/>
  </w:style>
  <w:style w:type="paragraph" w:styleId="Style23">
    <w:name w:val="Заголовок списка"/>
    <w:basedOn w:val="Normal"/>
    <w:next w:val="Style22"/>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LibreOffice/6.0.4.2$Windows_x86 LibreOffice_project/9b0d9b32d5dcda91d2f1a96dc04c645c450872bf</Application>
  <Pages>6</Pages>
  <Words>1453</Words>
  <Characters>11366</Characters>
  <CharactersWithSpaces>12828</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2019-05-24T15:31:44Z</dcterms:created>
  <dc:creator/>
  <dc:description/>
  <dc:language>ru-RU</dc:language>
  <cp:lastModifiedBy/>
  <dcterms:modified xsi:type="dcterms:W3CDTF">2019-05-24T15:32:59Z</dcterms:modified>
  <cp:revision>1</cp:revision>
  <dc:subject/>
  <dc:title/>
</cp:coreProperties>
</file>