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6" w:dyaOrig="921">
          <v:rect xmlns:o="urn:schemas-microsoft-com:office:office" xmlns:v="urn:schemas-microsoft-com:vml" id="rectole0000000000" style="width:40.300000pt;height:4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СОВЕТ ДЕПУТАТОВ ПОЛТАВСКОГО СЕЛЬСКОГО ПОСЕЛЕНИЯ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КАРТАЛИНСКИЙ МУНИЦИПАЛЬНЫЙ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ЧЕЛЯБИНСКАЯ ОБЛАСТЬ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  <w:t xml:space="preserve">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апреля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  <w:tab/>
        <w:t xml:space="preserve">  № 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внесения изменений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правила землепользования и застройки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Полтавского 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статьи 32 Градостроительного кодекса РФ, рассмотрев представленный проект изменений в Правила землепользования и застройки Полтавского сельского поселения, утвержденных Решением Совета депутатов Полтавского   сельского поселения от 13.04.2012 г. № 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протоколом публичных слушаний по указанному проекту от 19.01.2017  и заключением  по результатам публичных слушаний от  24.01.2017, проводимых Комиссией по подготовке правил землепользования и застройки Карталинского муниципального района в соответствии с распоряжением администрации Карталинского муниципального района от 08.11.2016 г № 758-р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публичных слушаний по внесению изменений в Правила землепользования и застройки,  руководствуясь Градостроительным кодексом РФ,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 депутатов  Полтавского     сельского поселения   РЕШИЛ:</w:t>
      </w:r>
    </w:p>
    <w:p>
      <w:pPr>
        <w:numPr>
          <w:ilvl w:val="0"/>
          <w:numId w:val="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изменения в Правила землепользования и застройки Полтавского  сельского поселения согласно приложения 1.</w:t>
      </w:r>
    </w:p>
    <w:p>
      <w:pPr>
        <w:numPr>
          <w:ilvl w:val="0"/>
          <w:numId w:val="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 решение об утверждении внесения  изменений в Правила землепользования и застройки Полтавского  сельского поселения на официальном сайте администрации  Полтавского    сельского поселения и опубликовать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Карталинская новь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вступает в силу со дня его официального опубликования в средствах массовой информации.</w:t>
      </w:r>
    </w:p>
    <w:p>
      <w:pPr>
        <w:spacing w:before="0" w:after="0" w:line="240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Полтавского    сельского поселения                                  А.М.Павлов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Совета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Полтавского     сельского поселения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апреля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 7           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 изменений, вносимых в градостроительные  регламенты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ЖЗ.1 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отсутствуют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ЖЗ.2 таблицу параметры строительства дополнить пунктами 6, 7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ПАРАМЕТРЫ СТРОИТЕЛЬСТВА</w:t>
      </w:r>
    </w:p>
    <w:tbl>
      <w:tblPr/>
      <w:tblGrid>
        <w:gridCol w:w="7731"/>
        <w:gridCol w:w="1985"/>
      </w:tblGrid>
      <w:tr>
        <w:trPr>
          <w:trHeight w:val="307" w:hRule="auto"/>
          <w:jc w:val="left"/>
        </w:trPr>
        <w:tc>
          <w:tcPr>
            <w:tcW w:w="77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Показатели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Параметры</w:t>
            </w:r>
          </w:p>
        </w:tc>
      </w:tr>
      <w:tr>
        <w:trPr>
          <w:trHeight w:val="405" w:hRule="auto"/>
          <w:jc w:val="left"/>
        </w:trPr>
        <w:tc>
          <w:tcPr>
            <w:tcW w:w="7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Высота зданий: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всех основных строений количество надземных этажей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2-3</w:t>
            </w:r>
          </w:p>
        </w:tc>
      </w:tr>
      <w:tr>
        <w:trPr>
          <w:trHeight w:val="405" w:hRule="auto"/>
          <w:jc w:val="left"/>
        </w:trPr>
        <w:tc>
          <w:tcPr>
            <w:tcW w:w="773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плотности застройки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0.45</w:t>
            </w:r>
          </w:p>
        </w:tc>
      </w:tr>
    </w:tbl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ЖЗ.3 таблицу параметры строительства дополнить пунктом 8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ПАРАМЕТРЫ СТРОИТЕЛЬСТВА</w:t>
      </w:r>
    </w:p>
    <w:tbl>
      <w:tblPr/>
      <w:tblGrid>
        <w:gridCol w:w="6881"/>
        <w:gridCol w:w="3118"/>
      </w:tblGrid>
      <w:tr>
        <w:trPr>
          <w:trHeight w:val="307" w:hRule="auto"/>
          <w:jc w:val="left"/>
        </w:trPr>
        <w:tc>
          <w:tcPr>
            <w:tcW w:w="688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Показатели</w:t>
            </w:r>
          </w:p>
        </w:tc>
        <w:tc>
          <w:tcPr>
            <w:tcW w:w="3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Параметры</w:t>
            </w:r>
          </w:p>
        </w:tc>
      </w:tr>
      <w:tr>
        <w:trPr>
          <w:trHeight w:val="405" w:hRule="auto"/>
          <w:jc w:val="left"/>
        </w:trPr>
        <w:tc>
          <w:tcPr>
            <w:tcW w:w="688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Коэффициент плотности застройки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0.45</w:t>
            </w:r>
          </w:p>
        </w:tc>
      </w:tr>
    </w:tbl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ОД. 1 дополнить следующими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этажность - до 3-х этажей включительно.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земельных участков: не менее противопожарного разрыва между зданиями, строениями и сооружениями.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 30-102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Планировка и застройка территорий малоэтажного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реально сложившейся застройки и архитектурно-планировочным решением объекта.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Нормативные размеры  земельных участков</w:t>
      </w:r>
    </w:p>
    <w:tbl>
      <w:tblPr/>
      <w:tblGrid>
        <w:gridCol w:w="3657"/>
        <w:gridCol w:w="4614"/>
      </w:tblGrid>
      <w:tr>
        <w:trPr>
          <w:trHeight w:val="444" w:hRule="auto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земельного участка</w:t>
            </w:r>
          </w:p>
        </w:tc>
      </w:tr>
      <w:tr>
        <w:trPr>
          <w:trHeight w:val="996" w:hRule="auto"/>
          <w:jc w:val="left"/>
          <w:cantSplit w:val="1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Магазины, в том числе: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Продовольственные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Непродовольственные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Торговые центры сельских поселений с числом жителей, тыс. чел.: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 тыс.чел. – 0,1 - 0,2 га на объект;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св.1 до 3 – 0,2-0,4 га.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Рыночные комплексы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торговой площади рыночного комплекса: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600 м2 – 14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/на 1 торговое место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св.3000 м2 – 7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/на 1 торговое место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общественного питания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100 мест, при числе мест: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50 м2 – 0,2 - 0,25 га на объект;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св.50 до 150 – 0,2-0,15 га;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св.150 – 0,1 га.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бытового обслуживания, в том числе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обслуживания населения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обслуживания предприятий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10 рабочих мест для предприятий мощностью: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от 10 до 50 – 0,1-0,2 га;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50 до 150 – 0,05-0,08 га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0,5-1,2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 на объект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Прачечные, химчистки в том числе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обслуживания населения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фабрики-прачечные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0,1-0,2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 на объект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0,5-1,0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Бани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0,2-0,4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 и филиалы банков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кол. операционных касс, га на объект: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кассы – 0,05 га;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 – 0,4 га.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 связи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0,3-0,35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 и учреждения управления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 1 сотрудника: 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Гостиницы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 на одно место при числе мест гостиницы: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 до 100 – 55 м2;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 100 – 30 м2.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Жилищно-эксплуатационные организации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Пункты приема вторичного сырья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3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Пожарные депо</w:t>
            </w:r>
          </w:p>
        </w:tc>
        <w:tc>
          <w:tcPr>
            <w:tcW w:w="4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</w:tbl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ОД. 2 дополнить следующими словами: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Вспомогательные виды разрешенного использования: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автостоянки для обслуживающих видов использования;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зеленые насаждения, малые архитектурные формы, элементы дизайна и иные объекты благоустройства;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отдельно стоящие, встроенные и пристроенные гаражи для служебных автомобилей;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служебно-бытовые помещения и хозяйственные постройки.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Условно разрешенные виды использования: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временные (нестационарные) объекты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ОД. 2 таблицу параметры строительства дополнить пунктами 8,9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ПАРАМЕТРЫ СТРОИТЕЛЬСТВА</w:t>
      </w:r>
    </w:p>
    <w:tbl>
      <w:tblPr/>
      <w:tblGrid>
        <w:gridCol w:w="5220"/>
        <w:gridCol w:w="1920"/>
        <w:gridCol w:w="2760"/>
      </w:tblGrid>
      <w:tr>
        <w:trPr>
          <w:trHeight w:val="270" w:hRule="auto"/>
          <w:jc w:val="left"/>
        </w:trPr>
        <w:tc>
          <w:tcPr>
            <w:tcW w:w="522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Показатели</w:t>
            </w:r>
          </w:p>
        </w:tc>
        <w:tc>
          <w:tcPr>
            <w:tcW w:w="4680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Параметры</w:t>
            </w:r>
          </w:p>
        </w:tc>
      </w:tr>
      <w:tr>
        <w:trPr>
          <w:trHeight w:val="360" w:hRule="auto"/>
          <w:jc w:val="left"/>
        </w:trPr>
        <w:tc>
          <w:tcPr>
            <w:tcW w:w="522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Общеобразовательных учреждений</w:t>
            </w:r>
          </w:p>
        </w:tc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Детских дошкольных учреждений</w:t>
            </w:r>
          </w:p>
        </w:tc>
      </w:tr>
      <w:tr>
        <w:trPr>
          <w:trHeight w:val="405" w:hRule="auto"/>
          <w:jc w:val="left"/>
        </w:trPr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Размер  земельного участка (кол. мест на 1 тыс. чел.)</w:t>
            </w:r>
          </w:p>
        </w:tc>
        <w:tc>
          <w:tcPr>
            <w:tcW w:w="4680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одно место при вместимости учреждений: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40 до 400 - 50 м2;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400 до 500 - 60 м2;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500 до 600 - 50 м2;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600 до 800 - 40 м2;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 800 до 1100 - 33 м2</w:t>
            </w:r>
          </w:p>
        </w:tc>
      </w:tr>
      <w:tr>
        <w:trPr>
          <w:trHeight w:val="405" w:hRule="auto"/>
          <w:jc w:val="left"/>
        </w:trPr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</w:t>
            </w:r>
          </w:p>
        </w:tc>
        <w:tc>
          <w:tcPr>
            <w:tcW w:w="4680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64,6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Примечания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tabs>
          <w:tab w:val="left" w:pos="86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ОД. 3 таблицу параметры строительства дополнить пунктами 5,6,7,8,9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ПАРАМЕТРЫ СТРОИТЕЛЬСТВА</w:t>
      </w:r>
    </w:p>
    <w:tbl>
      <w:tblPr/>
      <w:tblGrid>
        <w:gridCol w:w="5144"/>
        <w:gridCol w:w="4680"/>
      </w:tblGrid>
      <w:tr>
        <w:trPr>
          <w:trHeight w:val="307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Показатели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Параметры</w:t>
            </w:r>
          </w:p>
        </w:tc>
      </w:tr>
      <w:tr>
        <w:trPr>
          <w:trHeight w:val="405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земельных участков, в т. ч.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Стационары всех типов со вспомогательными зданиями и сооружениями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Поликлиника, амбулатория, диспансер (без стационара)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скорой медицинской помощи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Фельдшерские или фельдшерско-акушерские пункты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Аптеки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104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4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4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одно койко-место при вместимости учреждений: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50 коек – 300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50-100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коек – 300-200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100-200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коек – 200-140 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0,3га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0,1 га.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  <w:p>
            <w:pPr>
              <w:spacing w:before="0" w:after="0" w:line="240"/>
              <w:ind w:right="0" w:left="0" w:firstLine="6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 – 0,3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405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-104" w:left="0" w:firstLine="6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405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земельного участка в целях определения места допустимого размещения объекта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-104" w:left="0" w:firstLine="6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</w:tr>
      <w:tr>
        <w:trPr>
          <w:trHeight w:val="405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надземных этажей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104" w:left="0" w:firstLine="6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405" w:hRule="auto"/>
          <w:jc w:val="left"/>
        </w:trPr>
        <w:tc>
          <w:tcPr>
            <w:tcW w:w="514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высота ограждения</w:t>
            </w:r>
          </w:p>
        </w:tc>
        <w:tc>
          <w:tcPr>
            <w:tcW w:w="468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104" w:left="0" w:firstLine="6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</w:tr>
    </w:tbl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ПР.1 дополнить словами: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строительства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размеры земельного участка – 2000 кв. м.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земельного участка в целях определения места допустимого размещения объекта – 5.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процент застройки в границах земельного участка – 60.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Предельное количество надземных этажей – 3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ПР.2 таблицу  дополнить словами: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строительства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размеры земельного участка – 1500 кв. 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земельного участка в целях определения места допустимого размещения объекта –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процент застройки в границах земельного участка – 53,3.</w:t>
      </w:r>
    </w:p>
    <w:p>
      <w:pPr>
        <w:spacing w:before="0" w:after="20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Предельное количество надземных этажей – 3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ИЗ.1 дополнить словами:</w:t>
      </w:r>
    </w:p>
    <w:p>
      <w:pPr>
        <w:tabs>
          <w:tab w:val="left" w:pos="8885" w:leader="dot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Предельные  размеры земельных участков 0,1 - 0,6 га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2.2.1/2.1.1.1200-03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2.04.07-86*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Тепловые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42-01-2002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Газораспределительные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 78.13330.2012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зоне охраны магистральных ЛЭП (Э)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земельных участков и объектов капитального строительства, расположенных в границах зоны охраны магистральных ЛЭП, осуществляется в соответствии с постановление Правительства Российской Федерации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ИЗ.2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Границы зон источников питьевого водоснабжения, в том числе подземных и поверхностных источников водоснабжения, установлены в соответствии с границами первого пояса зон санитарной охраны источников водоснабжения.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подземных источников питьевого водоснабжения запрещается: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посадка высокоствольных деревьев;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трубопроводов различного назначения;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жилых и хозяйственно-бытовых зданий, проживания людей;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ядохимикатов и удобрений.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поверхностных источников питьевого водоснабжения дополнительно к ограничениям, указанным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пункте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настоящей статьи запрещается: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спуск сточных вод, в том числе сточных вод водного транспорта;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купание, водопой скота, стирка белья;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виды водопользования, оказывающие влияние на качество воды.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зонах санитарной охраны источников питьевого водоснабжения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второго пояса зон санитарной охраны источников водоснабжения.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подземных источников питьевого водоснабжения запрещается: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закачки отработанных вод в подземные горизонты;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подземного складирования твердых отходов;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разработки недр земель;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удобрений и ядохимикатов;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рубка леса главного пользования и реконструкции.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объектов капитального строительства и временных сооружений;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бурение новых скважин.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поверхностных источников питьевого водоснабжения запрещается: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отведение сточных вод в зоне водосбора поверхностного источника водоснабжения включая его притоки;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производить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добыча песка, гравия;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дноуглубительных работ в пределах акватории, зон санитарной охраны;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купание, туризм, водный спорт и рыбная ловля в установленных местах.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водоснабжения)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третьего пояса зон санитарной охраны источников водоснабжения.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подземных источников питьевого водоснабжения запрещается: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закачки отработанных вод в подземные горизонты;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подземного складирования твердых отходов;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разработки недр земель.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объектов капитального строительства и временных сооружений;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бурение новых скважин;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складов горюче-смазочных материалов;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ядохимикатов и минеральных удобрений;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накопителей промышленных стоков, шламохранилищ и других объектов, вызывающих опасность химического загрязнения подземных вод.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разрешается: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добыча песка, гравия;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дноуглубительных работ в пределах акватории, зон санитарной</w:t>
      </w: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ИЗ.3 дополнить таблицами следующего содержания:</w:t>
      </w:r>
    </w:p>
    <w:p>
      <w:pPr>
        <w:tabs>
          <w:tab w:val="left" w:pos="3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 для размещения очистных сооружений</w:t>
      </w:r>
    </w:p>
    <w:tbl>
      <w:tblPr/>
      <w:tblGrid>
        <w:gridCol w:w="3090"/>
        <w:gridCol w:w="2268"/>
        <w:gridCol w:w="1985"/>
        <w:gridCol w:w="2551"/>
      </w:tblGrid>
      <w:tr>
        <w:trPr>
          <w:trHeight w:val="497" w:hRule="auto"/>
          <w:jc w:val="left"/>
          <w:cantSplit w:val="1"/>
        </w:trPr>
        <w:tc>
          <w:tcPr>
            <w:tcW w:w="30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Производительность очистных сооружений,  тыс.м3/сутки</w:t>
            </w:r>
          </w:p>
        </w:tc>
        <w:tc>
          <w:tcPr>
            <w:tcW w:w="68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земельного участка, га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0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очистных сооружений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иловых площадок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 прудов глубокой очистки сточных вод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0,7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 0,7 до 17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– 40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– 130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 – 175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175 - 280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20" w:leader="none"/>
              </w:tabs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3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3420" w:leader="none"/>
          <w:tab w:val="center" w:pos="481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 для размещения станций очистки воды</w:t>
      </w:r>
    </w:p>
    <w:tbl>
      <w:tblPr>
        <w:tblInd w:w="1220" w:type="dxa"/>
      </w:tblPr>
      <w:tblGrid>
        <w:gridCol w:w="2976"/>
        <w:gridCol w:w="3402"/>
      </w:tblGrid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Производительность станции, тыс.м3/сутки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земельного участка не более, га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0,8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св. 0,8 до 12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– 32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 – 80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– 125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 – 250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– 400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400 - 800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</w:tbl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ИЗ.3 дополнить словами: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2.2.1/2.1.1.1200-03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Главу 2 раздел  ИЗ.4 дополнить словами: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 для сооружений связи   0,3-2,1 га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2.2.1/2.1.1.1200-03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ИЗ.5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охранных зонах газопроводов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земельных участков и объектов капитального строительства, расположенных в границах зоны охраны газопроводов, осуществляется 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охраны газораспределительных сетей Российской Федерации, утвержденными постановлением Правительства Российской Федерации от 20.11.2000 N 878.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границах зоны охраны газопроводов запрещается: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строить объекты жилищно-гражданского и производственного назначения;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устраивать свалки и склады, разливать растворы кислот, солей, щелочей и других химически активных веществ;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разводить огонь и размещать источники огня;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самовольно подключаться к газораспределительным сетям.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Лесохозяйственные, сельскохозяйственные и другие работы, не подпадающие под ограничения, указанные 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пункте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Хозяйственная деятельность в охранных зонах газораспределительных сетей, не предусмотренная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пунктами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>
      <w:pPr>
        <w:tabs>
          <w:tab w:val="left" w:pos="3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участков: </w:t>
      </w:r>
    </w:p>
    <w:p>
      <w:pPr>
        <w:tabs>
          <w:tab w:val="left" w:pos="3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минимальный  0,6 га</w:t>
      </w:r>
    </w:p>
    <w:p>
      <w:pPr>
        <w:tabs>
          <w:tab w:val="left" w:pos="3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– 8,0 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Отдельно стоящие ГРП в кварталах размещаются на расстоянии в свету от зданий и сооружений не менее:</w:t>
      </w:r>
    </w:p>
    <w:p>
      <w:pPr>
        <w:tabs>
          <w:tab w:val="left" w:pos="851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 давлении газа на вводе ГРП до 0,6 (6) МПа (кгс/см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– 10 м;</w:t>
      </w:r>
    </w:p>
    <w:p>
      <w:pPr>
        <w:tabs>
          <w:tab w:val="left" w:pos="851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 давлении газа на вводе ГРП св. 0,6 (6) до 1,2 (1,2) МПа (кгс/см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– 15 м.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2.2.1/2.1.1.1200-03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42-01-2002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Газораспределительные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ТЗ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2.2.1/2.1.1.1200-03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2.04.07-86*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Тепловые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42-01-2002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Газораспределительные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 78.13330.2012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ТЗ.1 дополнить словами: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ТЗ.2 дополнить словами:</w:t>
      </w:r>
    </w:p>
    <w:p>
      <w:pPr>
        <w:spacing w:before="0" w:after="20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Вспомогательные разрешенные виды использования не устанавливаются.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Разрешённые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20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ТЗ.3 дополнить словами:</w:t>
      </w:r>
    </w:p>
    <w:p>
      <w:pPr>
        <w:spacing w:before="0" w:after="20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РЗ.1 дополнить словами: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размеры земельного участка – 0,01 га.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земельного участка в целях определения места допустимого размещения объекта – 3 м.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процент застройки в границах земельного участка – 64,6.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Предельное количество этажей–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границ земельных участков, вновь проектируемых санаторно-курортных и оздоровительных учреждений не менее: </w:t>
      </w:r>
    </w:p>
    <w:p>
      <w:p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до жилой застройки, учреждений коммунального хозяйства и складов  – 500м (в условиях реконструкции не менее 100 м); </w:t>
      </w:r>
    </w:p>
    <w:p>
      <w:p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до автомобильных дорог I, II и III категорий – 500м; </w:t>
      </w:r>
    </w:p>
    <w:p>
      <w:p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до автомобильных дорог IV категории – 200м; </w:t>
      </w:r>
    </w:p>
    <w:p>
      <w:p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до садоводческих товариществ – 300 м. 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РЗ.2 дополнить словами: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главе 2 раздел  РЗ.2 исключить слова: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разрешенного строительного изменения земельных участков, иных объектов недвижимости, устанавливаются в индивидуальном порядке (применительно к каждому земельному участку, объекту) в процессе согласования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РЗ.3  дополнить словами: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СХ.1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виды разрешенного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выращивание сельхозпродукции;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животноводство (за исключением капитального строительства);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птицеводство (за исключением капитального строительства);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личное подсобное хозяйство (полевой участок).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Вспомогательные виды разрешенного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лесозащитные полосы;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отдельно стоящие, пристроенные бытовые и хозяйственные постройки, связанные с обслуживанием условных видов разрешенного использования;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магистральные сети инженерно-технического обеспечения;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инженерной инфраструктуры, связанные с обслуживанием объектов данной подзоны.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Условно разрешенные виды использования земельных участков и объектов недвижимости: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садоводческие, дачные и огороднические некоммерческие объединения граждан;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садоводство, огородничество;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животноводство (здания);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птицеводство (здания);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крестьянско-фермерские хозяйства;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животноводческие комплексы;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сельскохозяйственного производства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СанПиН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"consultantplus://offline/ref=67CEA787955165A576C878AA4D949C2A2B80AC5EBC975285AEC7C0B203FB019AA0276611BFE15A624Dg5E"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2.2.1/2.1.1.1200-03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объектов", Земельным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Лесным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СП 53.13330.2011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Планировка и застройка территорий садоводческих (дачных) объединений граждан, здания и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СХ.2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виды разрешенного использования: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животноводческие комплексы;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крестьянско-фермерские хозяйства;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сельскохозяйственного производства;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Условные виды разрешенного использования не устанавливаются.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Вспомогательные виды разрешенного использования: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автостоянки обслуживающего вида использования;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отдельно стоящие, пристроенные бытовые и хозяйственные постройки, связанные с обслуживанием основных видов разрешенного использования;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линейные объекты, объекты инженерной инфраструктуры.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земельного участка в целях определения места допустимого размещения объекта – 3 м.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Предельная высота объекта – 15 м.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Разрешенные параметры использования земельных участков и объектов капитального строительства: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СанПиН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"consultantplus://offline/ref=67CEA787955165A576C878AA4D949C2A2B80AC5EBC975285AEC7C0B203FB019AA0276611BFE15A624Dg5E"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2.2.1/2.1.1.1200-03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Санитарно-защитные зоны и санитарная классификация предприятий, сооружений и иных объектов", Земельным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Лесным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СП 53.13330.2011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Планировка и застройка территорий садоводческих (дачных) объединений граждан, здания и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СХ.3 дополнить словами: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Вспомогательные разрешенные виды использования не устанавливаются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Предельные размеры земельных участков для ведения:</w:t>
      </w:r>
    </w:p>
    <w:tbl>
      <w:tblPr/>
      <w:tblGrid>
        <w:gridCol w:w="4503"/>
        <w:gridCol w:w="2551"/>
        <w:gridCol w:w="2552"/>
      </w:tblGrid>
      <w:tr>
        <w:trPr>
          <w:trHeight w:val="1" w:hRule="atLeast"/>
          <w:jc w:val="left"/>
        </w:trPr>
        <w:tc>
          <w:tcPr>
            <w:tcW w:w="45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предоставления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земельных участков, га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максимальные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садоводства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0,20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огородничества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0,005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0,20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дачного строительства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застройки 30 %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СН.1 читать в новой редакции: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действующие кладбища смешанного и традиционного захоронения.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Вспомогательные виды разрешенного использования земельных участков и объектов капитального строительства: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предприятия торговли ритуальной продукцией;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сооружения постов полиции, ГИБДД;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временные сооружения для обслуживания населения;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аптеки;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остановочные павильоны, посадочные площадки общественного транспорта;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пешеходные тротуары, площади;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малые архитектурные формы,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электрокотельные;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общественные уборные;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магистральные сети и объекты инженерной инфраструктуры, связанные с обслуживанием объектов специального назначения.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Условно разрешенные виды использования земельных участков и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крематории, стены скорби;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похоронные бюро;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открытые стоянки, вместимостью до 300 легковых автомобилей, временного типа;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базы по сбору утильсырья;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мусороперерабатывающие и мусоросжигательные заводы.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Минимальные отступы от границ земельного участка в целях определения места допустимого размещения объекта – 5 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Минимальный процент захоронений по отношению к общей площади кладбища – 65.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Предельная высота объекта – 15 м.</w:t>
      </w:r>
    </w:p>
    <w:p>
      <w:pPr>
        <w:spacing w:before="0" w:after="200" w:line="240"/>
        <w:ind w:right="-36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Предельная высота ограждения – 2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СН.2 дополнить словами: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Условные виды разрешенного использования не устанавливаются</w:t>
      </w:r>
    </w:p>
    <w:p>
      <w:pPr>
        <w:tabs>
          <w:tab w:val="left" w:pos="34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земельных участков 0,02 – 4,0 га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Разрешенные параметры использования земельных участков и объектов капитального строительства: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погребении и похоронном 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40"/>
        <w:ind w:right="-36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плотность застройки,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СН.3 дополнить словами: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Вспомогательные и условные виды разрешенного использования не устанавливаются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Разрешенные параметры использования земельных участков и объектов капитального строительства: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погребении и похоронном 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40"/>
        <w:ind w:right="-36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 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АЗ.3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водоохранных зонах - водоохранные зоны и режим использования устанавливаются в соответствии со статьей 65 Водного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РФ.2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Земельные участки, входящие в состав зоны, могут быть зарезервированы для государственных и муниципальных нужд.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зоны. Использование земельных участков, находящихся в зоне резервных территорий, осуществляется после разработки градостроительной документации в установленном порядке.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Главу 2 раздел  СЗЗ.1 дополнить словами: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Ограничения использования земельных участков и объектов капитального строительства в границах санитарно-защитных зон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Санитарно-защитная зона или какая-либо ее часть не могут рассматриваться как резервная территория предприятия и использоваться для расширения промышленной площадки, а также для перспективного развития селитебной территории. Санитарно-защитная зона не может рассматриваться как территория для размещения коллективных и индивидуальных дачных и садово-огородных участков.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земельных участков и объектов капитального строительства в санитарно-защитных зонах осуществляется с учетом следующих ограничений: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границах санитарно-защитных зон запрещается размещение: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для проживания людей;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земельных участков для дачного строительства, садоводства и огородничества;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предприятий по производству лекарственных веществ, лекарственных средств и (или) лекарственных форм;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предприятий пищевых отраслей промышленности;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оптовых складов продовольственного сырья и пищевых продуктов;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комплексов водопроводных сооружений для подготовки и хранения питьевой воды;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открытых спортивных сооружений;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парков;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образовательных и детских учреждений;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лечебно-профилактических и оздоровительных учреждений общего пользования.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границах санитарно-защитных зон по согласованию с органами государственной власти в области санитарно-эпидемиологического надзора разрешается размещение: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предприятий, их отдельных зданий и сооружений с производствами меньшего класса вредности, чем основное производство;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пожарных депо;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бань;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прачечных;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торговли и общественного питания;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мотелей, гостиниц;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гаражей, площадок и сооружений для хранения общественного и индивидуального транспорта;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автосервиса, автомобильные заправочные станции;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административных зданий, конструкторских бюро, связанных с обслуживанием данного предприятия;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поликлиник, научно-исследовательских лабораторий, закрытых спортивно-оздоровительных сооружений для работников предприятия;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нежилых помещений для дежурного аварийного персонала и охраны предприятий, помещений для пребывания работающих по вахтовому методу;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линейных объектов, объектов инженерной инфраструктуры;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артезианских скважин для технического водоснабжения;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водоохлаждающих сооружений для подготовки технической воды;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канализационных насосных станций;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сооружений оборотного водоснабжения;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питомников растений для озеленения промышленных площадок и санитарно-защитных зон;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новых объектов пищевой промышленности, оптовых складов продовольственного сырья и пищевой продукции в границах санитарно-защитных зон предприятий пищевых отраслей промышленности, при исключении взаимного негативного воздействия;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зеленых насаждений;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малых архитектурных форм и элементов благоустройства.</w:t>
      </w:r>
    </w:p>
    <w:p>
      <w:pPr>
        <w:spacing w:before="0" w:after="200" w:line="240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Архитектурно-строительное проектирование, строительство и реконструкция объектов капитального строительства в границах санитарно-защитных зон осуществляется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Mode="External" Target="consultantplus://offline/ref=F843AE2F001F448B34A006E96B1A643B90AFBB6303E3283E9E2971BE064276A8878EA86C8FDB1DF6CAE84CG241I" Id="docRId3" Type="http://schemas.openxmlformats.org/officeDocument/2006/relationships/hyperlink"/><Relationship TargetMode="External" Target="consultantplus://offline/ref=67CEA787955165A576C878AA4D949C2A2B84AE52BD965285AEC7C0B2034FgBE" Id="docRId7" Type="http://schemas.openxmlformats.org/officeDocument/2006/relationships/hyperlink"/><Relationship TargetMode="External" Target="consultantplus://offline/ref=67CEA787955165A576C878AA4D949C2A2B84AE52BD965285AEC7C0B2034FgBE" Id="docRId10" Type="http://schemas.openxmlformats.org/officeDocument/2006/relationships/hyperlink"/><Relationship TargetMode="External" Target="consultantplus://offline/ref=F843AE2F001F448B34A018E47D76383E95A6E16F04EE256CCB762AE3514B7CFFC0C1F12ECBD61CF6GC43I" Id="docRId2" Type="http://schemas.openxmlformats.org/officeDocument/2006/relationships/hyperlink"/><Relationship TargetMode="External" Target="consultantplus://offline/ref=67CEA787955165A576C878AA4D949C2A2B80AC5EBC975285AEC7C0B203FB019AA0276611BFE15A624Dg5E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consultantplus://offline/ref=67CEA787955165A576C878AA4D949C2A2B83AA54B9905285AEC7C0B2034FgBE" Id="docRId11" Type="http://schemas.openxmlformats.org/officeDocument/2006/relationships/hyperlink"/><Relationship TargetMode="External" Target="consultantplus://offline/ref=F843AE2F001F448B34A006E96B1A643B90AFBB6303E3283E9E2971BE064276A8878EA86C8FDB1DF6CAE84EG249I" Id="docRId5" Type="http://schemas.openxmlformats.org/officeDocument/2006/relationships/hyperlink"/><Relationship TargetMode="External" Target="consultantplus://offline/ref=67CEA787955165A576C878AA4D949C2A2B80AC5EBC975285AEC7C0B203FB019AA0276611BFE15A624Dg5E" Id="docRId9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Mode="External" Target="consultantplus://offline/ref=F843AE2F001F448B34A006E96B1A643B90AFBB6303E3283E9E2971BE064276A8878EA86C8FDB1DF6CAE84CG241I" Id="docRId4" Type="http://schemas.openxmlformats.org/officeDocument/2006/relationships/hyperlink"/><Relationship TargetMode="External" Target="consultantplus://offline/ref=67CEA787955165A576C878AA4D949C2A2B83AA54B9905285AEC7C0B2034FgBE" Id="docRId8" Type="http://schemas.openxmlformats.org/officeDocument/2006/relationships/hyperlink"/></Relationships>
</file>